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:rsidTr="00A06425">
        <w:tc>
          <w:tcPr>
            <w:tcW w:w="15388" w:type="dxa"/>
            <w:gridSpan w:val="6"/>
            <w:shd w:val="clear" w:color="auto" w:fill="auto"/>
            <w:vAlign w:val="center"/>
          </w:tcPr>
          <w:p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F90C6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Opis założeń projektu: </w:t>
            </w:r>
            <w:r w:rsidR="00F90C6A" w:rsidRPr="00F90C6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„System Satelitarnego Monitorowania Upraw Rolnych (S2MUR) – Etap 1”</w:t>
            </w:r>
          </w:p>
          <w:p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:rsidTr="00A06425">
        <w:tc>
          <w:tcPr>
            <w:tcW w:w="56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E236A3" w:rsidRPr="00A06425" w:rsidTr="001E7EC3">
        <w:tc>
          <w:tcPr>
            <w:tcW w:w="562" w:type="dxa"/>
            <w:shd w:val="clear" w:color="auto" w:fill="auto"/>
          </w:tcPr>
          <w:p w:rsidR="00E236A3" w:rsidRPr="00A06425" w:rsidRDefault="00E236A3" w:rsidP="00E236A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236A3" w:rsidRDefault="00E236A3" w:rsidP="00E236A3">
            <w:pPr>
              <w:jc w:val="center"/>
            </w:pPr>
            <w:r w:rsidRPr="005E3BB1"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:rsidR="00E236A3" w:rsidRPr="00A06425" w:rsidRDefault="00E236A3" w:rsidP="00E236A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2111B">
              <w:rPr>
                <w:rFonts w:asciiTheme="minorHAnsi" w:hAnsiTheme="minorHAnsi" w:cstheme="minorHAnsi"/>
                <w:sz w:val="22"/>
                <w:szCs w:val="22"/>
              </w:rPr>
              <w:t>4.2. Wykaz poszczególnych pozycji kosztowych (Koszty zarządzania i wsparcia)</w:t>
            </w:r>
          </w:p>
        </w:tc>
        <w:tc>
          <w:tcPr>
            <w:tcW w:w="4678" w:type="dxa"/>
            <w:shd w:val="clear" w:color="auto" w:fill="auto"/>
          </w:tcPr>
          <w:p w:rsidR="00E236A3" w:rsidRPr="00A06425" w:rsidRDefault="00E236A3" w:rsidP="00E236A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48B3">
              <w:rPr>
                <w:rFonts w:asciiTheme="minorHAnsi" w:hAnsiTheme="minorHAnsi" w:cstheme="minorHAnsi"/>
                <w:sz w:val="22"/>
                <w:szCs w:val="22"/>
              </w:rPr>
              <w:t xml:space="preserve">Zwracam uwagę na bardzo wysoką kwotę w pozycji "koszty pozyskania scen satelitarnych" wynoszącą 4 786 529,60 zł. Jednocześnie dokument wskazuje na wykorzystywanie danych z misji Sentinel-1, Sentinel-2 oraz </w:t>
            </w:r>
            <w:proofErr w:type="spellStart"/>
            <w:r w:rsidRPr="006A48B3">
              <w:rPr>
                <w:rFonts w:asciiTheme="minorHAnsi" w:hAnsiTheme="minorHAnsi" w:cstheme="minorHAnsi"/>
                <w:sz w:val="22"/>
                <w:szCs w:val="22"/>
              </w:rPr>
              <w:t>Landsat</w:t>
            </w:r>
            <w:proofErr w:type="spellEnd"/>
            <w:r w:rsidRPr="006A48B3">
              <w:rPr>
                <w:rFonts w:asciiTheme="minorHAnsi" w:hAnsiTheme="minorHAnsi" w:cstheme="minorHAnsi"/>
                <w:sz w:val="22"/>
                <w:szCs w:val="22"/>
              </w:rPr>
              <w:t xml:space="preserve"> 8/9. Zgodnie z polityką otwartych danych programu Copernicus (ESA) oraz USGS, dane te są udostępniane całkowicie bezpłatnie.</w:t>
            </w:r>
          </w:p>
        </w:tc>
        <w:tc>
          <w:tcPr>
            <w:tcW w:w="5812" w:type="dxa"/>
            <w:shd w:val="clear" w:color="auto" w:fill="auto"/>
          </w:tcPr>
          <w:p w:rsidR="00E236A3" w:rsidRPr="0082111B" w:rsidRDefault="00E236A3" w:rsidP="00E236A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48B3">
              <w:rPr>
                <w:rFonts w:asciiTheme="minorHAnsi" w:hAnsiTheme="minorHAnsi" w:cstheme="minorHAnsi"/>
                <w:sz w:val="22"/>
                <w:szCs w:val="22"/>
              </w:rPr>
              <w:t xml:space="preserve">Należy precyzyjnie wyjaśnić, czy projekt zakłada komercyjny zakup zobrazowań bardzo wysokiej rozdzielczości (VHR), a jeśli tak, to w jakim celu. Jeśli system bazuje wyłącznie na otwartych danych </w:t>
            </w:r>
            <w:proofErr w:type="spellStart"/>
            <w:r w:rsidRPr="006A48B3">
              <w:rPr>
                <w:rFonts w:asciiTheme="minorHAnsi" w:hAnsiTheme="minorHAnsi" w:cstheme="minorHAnsi"/>
                <w:sz w:val="22"/>
                <w:szCs w:val="22"/>
              </w:rPr>
              <w:t>Sentinel</w:t>
            </w:r>
            <w:proofErr w:type="spellEnd"/>
            <w:r w:rsidRPr="006A48B3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6A48B3">
              <w:rPr>
                <w:rFonts w:asciiTheme="minorHAnsi" w:hAnsiTheme="minorHAnsi" w:cstheme="minorHAnsi"/>
                <w:sz w:val="22"/>
                <w:szCs w:val="22"/>
              </w:rPr>
              <w:t>Landsat</w:t>
            </w:r>
            <w:proofErr w:type="spellEnd"/>
            <w:r w:rsidRPr="006A48B3">
              <w:rPr>
                <w:rFonts w:asciiTheme="minorHAnsi" w:hAnsiTheme="minorHAnsi" w:cstheme="minorHAnsi"/>
                <w:sz w:val="22"/>
                <w:szCs w:val="22"/>
              </w:rPr>
              <w:t>, wskazana kwota blisko 4,8 mln zł jest nieuzasadniona.</w:t>
            </w:r>
          </w:p>
        </w:tc>
        <w:tc>
          <w:tcPr>
            <w:tcW w:w="1359" w:type="dxa"/>
          </w:tcPr>
          <w:p w:rsidR="00E236A3" w:rsidRPr="00A06425" w:rsidRDefault="00E236A3" w:rsidP="00E236A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36A3" w:rsidRPr="00A06425" w:rsidTr="001E7EC3">
        <w:tc>
          <w:tcPr>
            <w:tcW w:w="562" w:type="dxa"/>
            <w:shd w:val="clear" w:color="auto" w:fill="auto"/>
          </w:tcPr>
          <w:p w:rsidR="00E236A3" w:rsidRPr="00A06425" w:rsidRDefault="00E236A3" w:rsidP="00E236A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236A3" w:rsidRDefault="00E236A3" w:rsidP="00E236A3">
            <w:pPr>
              <w:jc w:val="center"/>
            </w:pPr>
            <w:r w:rsidRPr="005E3BB1"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:rsidR="00E236A3" w:rsidRPr="00A06425" w:rsidRDefault="00E236A3" w:rsidP="00E236A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2111B">
              <w:rPr>
                <w:rFonts w:asciiTheme="minorHAnsi" w:hAnsiTheme="minorHAnsi" w:cstheme="minorHAnsi"/>
                <w:sz w:val="22"/>
                <w:szCs w:val="22"/>
              </w:rPr>
              <w:t>7.1. Widok kooperacji aplikacji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Lista</w:t>
            </w:r>
            <w:r w:rsidRPr="0082111B">
              <w:rPr>
                <w:rFonts w:asciiTheme="minorHAnsi" w:hAnsiTheme="minorHAnsi" w:cstheme="minorHAnsi"/>
                <w:sz w:val="22"/>
                <w:szCs w:val="22"/>
              </w:rPr>
              <w:t xml:space="preserve"> przepływów, Lp. 10 - MZP)</w:t>
            </w:r>
          </w:p>
        </w:tc>
        <w:tc>
          <w:tcPr>
            <w:tcW w:w="4678" w:type="dxa"/>
            <w:shd w:val="clear" w:color="auto" w:fill="auto"/>
          </w:tcPr>
          <w:p w:rsidR="00E236A3" w:rsidRPr="00A06425" w:rsidRDefault="00E236A3" w:rsidP="00E236A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W architekturze wymiany danych wskazano pobieranie Numerycznego Modelu Terenu (NMT) o rozdzielczości 10 m za pośrednictwem systemu MZP. Obecnie </w:t>
            </w:r>
            <w:proofErr w:type="spellStart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GUGiK</w:t>
            </w:r>
            <w:proofErr w:type="spellEnd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 udostępnia darmowe dane NMT z lotniczego skaningu laserowego (ALS) o znacznie wyższej rozdzielczości (1 m). Ponadto pobieranie danych bazowych (NMT) za pośrednictwem lokalnego systemu dziedzinowego (MZP) jest architektonicznie nieoptymalne.</w:t>
            </w:r>
          </w:p>
        </w:tc>
        <w:tc>
          <w:tcPr>
            <w:tcW w:w="5812" w:type="dxa"/>
            <w:shd w:val="clear" w:color="auto" w:fill="auto"/>
          </w:tcPr>
          <w:p w:rsidR="00E236A3" w:rsidRPr="00A06425" w:rsidRDefault="00E236A3" w:rsidP="00E236A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Zaleca się pobieranie aktualnego i dokładniejszego NMT (1 m) bezpośrednio z węzła infrastruktury informacji przestrzennej (usługi WCS/</w:t>
            </w:r>
            <w:proofErr w:type="spellStart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Geoportal</w:t>
            </w:r>
            <w:proofErr w:type="spellEnd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 udostępniane przez </w:t>
            </w:r>
            <w:proofErr w:type="spellStart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GUGiK</w:t>
            </w:r>
            <w:proofErr w:type="spellEnd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) z pominięciem systemu MZP.</w:t>
            </w:r>
          </w:p>
        </w:tc>
        <w:tc>
          <w:tcPr>
            <w:tcW w:w="1359" w:type="dxa"/>
          </w:tcPr>
          <w:p w:rsidR="00E236A3" w:rsidRPr="00A06425" w:rsidRDefault="00E236A3" w:rsidP="00E236A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36A3" w:rsidRPr="00A06425" w:rsidTr="001E7EC3">
        <w:tc>
          <w:tcPr>
            <w:tcW w:w="562" w:type="dxa"/>
            <w:shd w:val="clear" w:color="auto" w:fill="auto"/>
          </w:tcPr>
          <w:p w:rsidR="00E236A3" w:rsidRPr="00A06425" w:rsidRDefault="00E236A3" w:rsidP="00E236A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236A3" w:rsidRDefault="00E236A3" w:rsidP="00E236A3">
            <w:pPr>
              <w:jc w:val="center"/>
            </w:pPr>
            <w:r w:rsidRPr="005E3BB1"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:rsidR="00E236A3" w:rsidRPr="00A06425" w:rsidRDefault="00E236A3" w:rsidP="00E236A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2111B">
              <w:rPr>
                <w:rFonts w:asciiTheme="minorHAnsi" w:hAnsiTheme="minorHAnsi" w:cstheme="minorHAnsi"/>
                <w:sz w:val="22"/>
                <w:szCs w:val="22"/>
              </w:rPr>
              <w:t>5.1. Ryzyka wpływające na realizację projektu</w:t>
            </w:r>
          </w:p>
        </w:tc>
        <w:tc>
          <w:tcPr>
            <w:tcW w:w="4678" w:type="dxa"/>
            <w:shd w:val="clear" w:color="auto" w:fill="auto"/>
          </w:tcPr>
          <w:p w:rsidR="00E236A3" w:rsidRPr="00A06425" w:rsidRDefault="00E236A3" w:rsidP="00E236A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Występuje niespójność nazewnictwa w obszarze teledetekcyjnym. W tabeli przepływów mowa jest o danych z Sentinel-1 lub Sentinel-2, natomiast w tabeli </w:t>
            </w:r>
            <w:proofErr w:type="spellStart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ryzyk</w:t>
            </w:r>
            <w:proofErr w:type="spellEnd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 jako alternatywy wymieniono „Sentinel-1, </w:t>
            </w:r>
            <w:proofErr w:type="spellStart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Landsat</w:t>
            </w:r>
            <w:proofErr w:type="spellEnd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 8/9”. Sentinel-1 to sensor radarowy (SAR), natomiast Sentinel-2 i </w:t>
            </w:r>
            <w:proofErr w:type="spellStart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Landsat</w:t>
            </w:r>
            <w:proofErr w:type="spellEnd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 to sensory optyczne. Nie można ich stosować zamiennie w modelach ze względu na zupełnie inną fizykę obrazowania.</w:t>
            </w:r>
          </w:p>
        </w:tc>
        <w:tc>
          <w:tcPr>
            <w:tcW w:w="5812" w:type="dxa"/>
            <w:shd w:val="clear" w:color="auto" w:fill="auto"/>
          </w:tcPr>
          <w:p w:rsidR="00E236A3" w:rsidRPr="00A06425" w:rsidRDefault="00E236A3" w:rsidP="00E236A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Proszę o ujednolicenie nazw misji i poprawne zdefiniowanie planów awaryjnych (np. alternatywą dla Sentinel-2 jest </w:t>
            </w:r>
            <w:proofErr w:type="spellStart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Landsat</w:t>
            </w:r>
            <w:proofErr w:type="spellEnd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, ale dla Sentinel-1 należy wskazać inne misje SAR lub opisać modyfikację algorytmu).</w:t>
            </w:r>
          </w:p>
        </w:tc>
        <w:tc>
          <w:tcPr>
            <w:tcW w:w="1359" w:type="dxa"/>
          </w:tcPr>
          <w:p w:rsidR="00E236A3" w:rsidRPr="00A06425" w:rsidRDefault="00E236A3" w:rsidP="00E236A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36A3" w:rsidRPr="00A06425" w:rsidTr="001E7EC3">
        <w:tc>
          <w:tcPr>
            <w:tcW w:w="562" w:type="dxa"/>
            <w:shd w:val="clear" w:color="auto" w:fill="auto"/>
          </w:tcPr>
          <w:p w:rsidR="00E236A3" w:rsidRPr="00A06425" w:rsidRDefault="00E236A3" w:rsidP="00E236A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236A3" w:rsidRDefault="00E236A3" w:rsidP="00E236A3">
            <w:pPr>
              <w:jc w:val="center"/>
            </w:pPr>
            <w:r w:rsidRPr="005E3BB1"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:rsidR="00E236A3" w:rsidRPr="00A06425" w:rsidRDefault="00E236A3" w:rsidP="00E236A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2111B">
              <w:rPr>
                <w:rFonts w:asciiTheme="minorHAnsi" w:hAnsiTheme="minorHAnsi" w:cstheme="minorHAnsi"/>
                <w:sz w:val="22"/>
                <w:szCs w:val="22"/>
              </w:rPr>
              <w:t xml:space="preserve">2.1. Cele i korzyści wynikające z </w:t>
            </w:r>
            <w:r w:rsidRPr="0082111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projektu (Tabela KPI, Cel-1</w:t>
            </w:r>
          </w:p>
        </w:tc>
        <w:tc>
          <w:tcPr>
            <w:tcW w:w="4678" w:type="dxa"/>
            <w:shd w:val="clear" w:color="auto" w:fill="auto"/>
          </w:tcPr>
          <w:p w:rsidR="00E236A3" w:rsidRPr="00A06425" w:rsidRDefault="00E236A3" w:rsidP="00E236A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B5F3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Wartość docelowa KPI 1 zakłada zmniejszenie minimalnej wyróżnialnej powierzchni na mapie podatności gleb na suszę do 100 m2 (piksel 10x10 </w:t>
            </w:r>
            <w:r w:rsidRPr="009B5F3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m). Osiągnięcie tak wysokiej rozdzielczości dla cech profilu glebowego w skali kraju, z wykorzystaniem głównie danych satelitarnych, jest wysoce dyskusyjne naukowo. Sensory satelitarne (np. Sentinel-2) rejestrują jedynie parametry powierzchniowe.</w:t>
            </w:r>
          </w:p>
        </w:tc>
        <w:tc>
          <w:tcPr>
            <w:tcW w:w="5812" w:type="dxa"/>
            <w:shd w:val="clear" w:color="auto" w:fill="auto"/>
          </w:tcPr>
          <w:p w:rsidR="00E236A3" w:rsidRPr="00A06425" w:rsidRDefault="00E236A3" w:rsidP="00E236A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B5F3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Proszę o urealnienie wartości docelowej KPI 1 lub szczegółowe wyjaśnienie metodyki, która pozwoli na wygenerowanie i </w:t>
            </w:r>
            <w:proofErr w:type="spellStart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zwalidowanie</w:t>
            </w:r>
            <w:proofErr w:type="spellEnd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 mapy glebowej o rozdzielczości 100 m2 dla całej Polski</w:t>
            </w:r>
          </w:p>
        </w:tc>
        <w:tc>
          <w:tcPr>
            <w:tcW w:w="1359" w:type="dxa"/>
          </w:tcPr>
          <w:p w:rsidR="00E236A3" w:rsidRPr="00A06425" w:rsidRDefault="00E236A3" w:rsidP="00E236A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36A3" w:rsidRPr="00A06425" w:rsidTr="001E7EC3">
        <w:tc>
          <w:tcPr>
            <w:tcW w:w="562" w:type="dxa"/>
            <w:shd w:val="clear" w:color="auto" w:fill="auto"/>
          </w:tcPr>
          <w:p w:rsidR="00E236A3" w:rsidRPr="00A06425" w:rsidRDefault="00E236A3" w:rsidP="00E236A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1134" w:type="dxa"/>
            <w:shd w:val="clear" w:color="auto" w:fill="auto"/>
          </w:tcPr>
          <w:p w:rsidR="00E236A3" w:rsidRDefault="00E236A3" w:rsidP="00E236A3">
            <w:pPr>
              <w:jc w:val="center"/>
            </w:pPr>
            <w:r w:rsidRPr="005E3BB1"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:rsidR="00E236A3" w:rsidRPr="0082111B" w:rsidRDefault="00E236A3" w:rsidP="00E236A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5.1. Ryzyka wpływające na realizację projektu</w:t>
            </w:r>
          </w:p>
        </w:tc>
        <w:tc>
          <w:tcPr>
            <w:tcW w:w="4678" w:type="dxa"/>
            <w:shd w:val="clear" w:color="auto" w:fill="auto"/>
          </w:tcPr>
          <w:p w:rsidR="00E236A3" w:rsidRPr="009B5F32" w:rsidRDefault="00E236A3" w:rsidP="00E236A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W rejestrze </w:t>
            </w:r>
            <w:proofErr w:type="spellStart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ryzyk</w:t>
            </w:r>
            <w:proofErr w:type="spellEnd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 całkowicie pominięto kluczowe ryzyko operacyjne dla systemów teledetekcyjnych w naszej szerokości geograficznej – długotrwałe zachmurzenie. Ponieważ sensory optyczne (Sentinel-2, </w:t>
            </w:r>
            <w:proofErr w:type="spellStart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Landsat</w:t>
            </w:r>
            <w:proofErr w:type="spellEnd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) nie przenikają przez chmury, brak odpowiedniej liczby bezchmurnych scen w kluczowych fazach rozwoju roślin może uniemożliwić prawidłowe działanie modeli uprawowych i suszowych.</w:t>
            </w:r>
          </w:p>
        </w:tc>
        <w:tc>
          <w:tcPr>
            <w:tcW w:w="5812" w:type="dxa"/>
            <w:shd w:val="clear" w:color="auto" w:fill="auto"/>
          </w:tcPr>
          <w:p w:rsidR="00E236A3" w:rsidRPr="009B5F32" w:rsidRDefault="00E236A3" w:rsidP="00E236A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Należy dodać ryzyko "Brak użytecznych danych z sensorów optycznych z powodu długotrwałego zachmurzenia" oraz wskazać sposób </w:t>
            </w:r>
            <w:proofErr w:type="spellStart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>mitygacji</w:t>
            </w:r>
            <w:proofErr w:type="spellEnd"/>
            <w:r w:rsidRPr="009B5F32">
              <w:rPr>
                <w:rFonts w:asciiTheme="minorHAnsi" w:hAnsiTheme="minorHAnsi" w:cstheme="minorHAnsi"/>
                <w:sz w:val="22"/>
                <w:szCs w:val="22"/>
              </w:rPr>
              <w:t xml:space="preserve"> (np. większy nacisk na fuzję z danymi radarowymi SAR z Sentinel-1).</w:t>
            </w:r>
          </w:p>
        </w:tc>
        <w:tc>
          <w:tcPr>
            <w:tcW w:w="1359" w:type="dxa"/>
          </w:tcPr>
          <w:p w:rsidR="00E236A3" w:rsidRPr="009D2B4C" w:rsidRDefault="00E236A3" w:rsidP="00E236A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:rsidTr="00F17703">
        <w:trPr>
          <w:trHeight w:val="1262"/>
        </w:trPr>
        <w:tc>
          <w:tcPr>
            <w:tcW w:w="562" w:type="dxa"/>
            <w:shd w:val="clear" w:color="auto" w:fill="auto"/>
          </w:tcPr>
          <w:p w:rsidR="00A06425" w:rsidRPr="00A06425" w:rsidRDefault="00E236A3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GoBack" w:colFirst="2" w:colLast="2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A06425" w:rsidRPr="00A06425" w:rsidRDefault="00F90C6A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:rsidR="00A06425" w:rsidRPr="00A06425" w:rsidRDefault="008F5DB4" w:rsidP="002E79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Str. 16 </w:t>
            </w:r>
            <w:r w:rsidR="003F04DE">
              <w:rPr>
                <w:rFonts w:asciiTheme="minorHAnsi" w:hAnsiTheme="minorHAnsi" w:cstheme="minorHAnsi"/>
                <w:sz w:val="22"/>
                <w:szCs w:val="22"/>
              </w:rPr>
              <w:t>pkt</w:t>
            </w:r>
            <w:r w:rsidR="00624EDD">
              <w:rPr>
                <w:rFonts w:asciiTheme="minorHAnsi" w:hAnsiTheme="minorHAnsi" w:cstheme="minorHAnsi"/>
                <w:sz w:val="22"/>
                <w:szCs w:val="22"/>
              </w:rPr>
              <w:t xml:space="preserve"> 6</w:t>
            </w:r>
            <w:r w:rsidR="003F04DE">
              <w:rPr>
                <w:rFonts w:asciiTheme="minorHAnsi" w:hAnsiTheme="minorHAnsi" w:cstheme="minorHAnsi"/>
                <w:sz w:val="22"/>
                <w:szCs w:val="22"/>
              </w:rPr>
              <w:t xml:space="preserve"> (Otoczenie prawne)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F04DE">
              <w:rPr>
                <w:rFonts w:asciiTheme="minorHAnsi" w:hAnsiTheme="minorHAnsi" w:cstheme="minorHAnsi"/>
                <w:sz w:val="22"/>
                <w:szCs w:val="22"/>
              </w:rPr>
              <w:t>wiersz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3 </w:t>
            </w:r>
            <w:r w:rsidR="006D31E0">
              <w:rPr>
                <w:rFonts w:asciiTheme="minorHAnsi" w:hAnsiTheme="minorHAnsi" w:cstheme="minorHAnsi"/>
                <w:sz w:val="22"/>
                <w:szCs w:val="22"/>
              </w:rPr>
              <w:t>tabeli</w:t>
            </w:r>
            <w:r w:rsidR="00624ED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A06425" w:rsidRPr="00A06425" w:rsidRDefault="008F5DB4" w:rsidP="008F5DB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5DB4">
              <w:rPr>
                <w:rFonts w:asciiTheme="minorHAnsi" w:hAnsiTheme="minorHAnsi" w:cstheme="minorHAnsi"/>
                <w:sz w:val="22"/>
                <w:szCs w:val="22"/>
              </w:rPr>
              <w:t>W wierszu „</w:t>
            </w:r>
            <w:r w:rsidR="00FB715E" w:rsidRPr="008F5DB4">
              <w:rPr>
                <w:rFonts w:asciiTheme="minorHAnsi" w:hAnsiTheme="minorHAnsi" w:cstheme="minorHAnsi"/>
                <w:sz w:val="22"/>
                <w:szCs w:val="22"/>
              </w:rPr>
              <w:t xml:space="preserve">Ustawa z dnia 5 lipca 2018 r. o krajowym systemie cyberbezpieczeństwa (Dz.U. z 2024 r. poz. 1077, z </w:t>
            </w:r>
            <w:proofErr w:type="spellStart"/>
            <w:r w:rsidR="00FB715E" w:rsidRPr="008F5DB4">
              <w:rPr>
                <w:rFonts w:asciiTheme="minorHAnsi" w:hAnsiTheme="minorHAnsi" w:cstheme="minorHAnsi"/>
                <w:sz w:val="22"/>
                <w:szCs w:val="22"/>
              </w:rPr>
              <w:t>późn</w:t>
            </w:r>
            <w:proofErr w:type="spellEnd"/>
            <w:r w:rsidR="00FB715E" w:rsidRPr="008F5DB4">
              <w:rPr>
                <w:rFonts w:asciiTheme="minorHAnsi" w:hAnsiTheme="minorHAnsi" w:cstheme="minorHAnsi"/>
                <w:sz w:val="22"/>
                <w:szCs w:val="22"/>
              </w:rPr>
              <w:t>. zm.</w:t>
            </w:r>
            <w:r w:rsidRPr="008F5DB4">
              <w:rPr>
                <w:rFonts w:asciiTheme="minorHAnsi" w:hAnsiTheme="minorHAnsi" w:cstheme="minorHAnsi"/>
                <w:sz w:val="22"/>
                <w:szCs w:val="22"/>
              </w:rPr>
              <w:t xml:space="preserve">” </w:t>
            </w:r>
            <w:r w:rsidR="006D31E0">
              <w:rPr>
                <w:rFonts w:asciiTheme="minorHAnsi" w:hAnsiTheme="minorHAnsi" w:cstheme="minorHAnsi"/>
                <w:sz w:val="22"/>
                <w:szCs w:val="22"/>
              </w:rPr>
              <w:t>– błędne odniesienie do dziennika ustaw</w:t>
            </w:r>
          </w:p>
        </w:tc>
        <w:tc>
          <w:tcPr>
            <w:tcW w:w="5812" w:type="dxa"/>
            <w:shd w:val="clear" w:color="auto" w:fill="auto"/>
          </w:tcPr>
          <w:p w:rsidR="003F04DE" w:rsidRPr="003F04DE" w:rsidRDefault="006D31E0" w:rsidP="003F04DE">
            <w:pPr>
              <w:autoSpaceDE w:val="0"/>
              <w:autoSpaceDN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Ustawa</w:t>
            </w:r>
            <w:r w:rsidRPr="003F04D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F04DE" w:rsidRPr="008F5DB4">
              <w:rPr>
                <w:rFonts w:asciiTheme="minorHAnsi" w:hAnsiTheme="minorHAnsi" w:cstheme="minorHAnsi"/>
                <w:sz w:val="22"/>
                <w:szCs w:val="22"/>
              </w:rPr>
              <w:t>z dnia 5 lipca 2018 r. o krajowym systemie cyberbezpieczeństwa (</w:t>
            </w:r>
            <w:r w:rsidR="003F04DE" w:rsidRPr="003F04DE">
              <w:rPr>
                <w:rFonts w:asciiTheme="minorHAnsi" w:hAnsiTheme="minorHAnsi" w:cstheme="minorHAnsi"/>
                <w:sz w:val="22"/>
                <w:szCs w:val="22"/>
              </w:rPr>
              <w:t>Dz. U. 2026 poz. 20, tekst jednolity)</w:t>
            </w:r>
          </w:p>
          <w:p w:rsidR="006D31E0" w:rsidRPr="003F04DE" w:rsidRDefault="006D31E0" w:rsidP="006D31E0">
            <w:pPr>
              <w:autoSpaceDE w:val="0"/>
              <w:autoSpaceDN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D31E0" w:rsidRPr="003F04DE" w:rsidRDefault="006D31E0" w:rsidP="006D31E0">
            <w:pPr>
              <w:autoSpaceDE w:val="0"/>
              <w:autoSpaceDN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4DE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6D31E0" w:rsidRPr="003F04DE" w:rsidRDefault="006D31E0" w:rsidP="006D31E0">
            <w:pPr>
              <w:autoSpaceDE w:val="0"/>
              <w:autoSpaceDN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F04DE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A06425" w:rsidRPr="00A06425" w:rsidRDefault="00A06425" w:rsidP="008F5DB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76DC" w:rsidRPr="00A06425" w:rsidTr="00A06425">
        <w:tc>
          <w:tcPr>
            <w:tcW w:w="562" w:type="dxa"/>
            <w:shd w:val="clear" w:color="auto" w:fill="auto"/>
          </w:tcPr>
          <w:p w:rsidR="00EA76DC" w:rsidRPr="00A06425" w:rsidRDefault="00E236A3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EA76DC" w:rsidRDefault="00EA76DC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:rsidR="00EA76DC" w:rsidRDefault="00EA76DC" w:rsidP="002E797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 do dokumentu</w:t>
            </w:r>
          </w:p>
        </w:tc>
        <w:tc>
          <w:tcPr>
            <w:tcW w:w="4678" w:type="dxa"/>
            <w:shd w:val="clear" w:color="auto" w:fill="auto"/>
          </w:tcPr>
          <w:p w:rsidR="00EA76DC" w:rsidRPr="008F5DB4" w:rsidRDefault="00EA76DC" w:rsidP="008F5DB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76DC">
              <w:rPr>
                <w:rFonts w:asciiTheme="minorHAnsi" w:hAnsiTheme="minorHAnsi" w:cstheme="minorHAnsi"/>
                <w:sz w:val="22"/>
                <w:szCs w:val="22"/>
              </w:rPr>
              <w:t xml:space="preserve">Dokument „Opis założeń projektu informatycznego: System Satelitarnego Monitorowania Upraw Rolnych (S2MUR) – Etap 1” przedstawia spójny i dobrze uzasadniony koncepcyjnie opis systemu wspierającego monitorowanie upraw rolnych w oparciu o dane satelitarne, meteorologiczne, glebowe i statystyczne. Projekt wpisuje się w rozwój analityki danych przestrzennych oraz szersze wykorzystanie zobrazowań satelitarnych w administracji publicznej, w szczególności w monitorowaniu skutków suszy. Zwraca się jednak uwagę na konieczność doprecyzowania kwestii zarządzania danymi, ich jakości, metadanych, interoperacyjności z krajowymi rejestrami referencyjnymi, a także zasad stosowania identyfikatorów przestrzennych oraz określenia </w:t>
            </w:r>
            <w:r w:rsidRPr="00EA76D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sposobu i poziomu udostępniania danych w </w:t>
            </w:r>
            <w:proofErr w:type="spellStart"/>
            <w:r w:rsidRPr="00EA76DC">
              <w:rPr>
                <w:rFonts w:asciiTheme="minorHAnsi" w:hAnsiTheme="minorHAnsi" w:cstheme="minorHAnsi"/>
                <w:sz w:val="22"/>
                <w:szCs w:val="22"/>
              </w:rPr>
              <w:t>Geoserwisie</w:t>
            </w:r>
            <w:proofErr w:type="spellEnd"/>
            <w:r w:rsidRPr="00EA76DC">
              <w:rPr>
                <w:rFonts w:asciiTheme="minorHAnsi" w:hAnsiTheme="minorHAnsi" w:cstheme="minorHAnsi"/>
                <w:sz w:val="22"/>
                <w:szCs w:val="22"/>
              </w:rPr>
              <w:t xml:space="preserve"> Suszowym.</w:t>
            </w:r>
          </w:p>
        </w:tc>
        <w:tc>
          <w:tcPr>
            <w:tcW w:w="5812" w:type="dxa"/>
            <w:shd w:val="clear" w:color="auto" w:fill="auto"/>
          </w:tcPr>
          <w:p w:rsidR="00EA76DC" w:rsidRDefault="00EA76DC" w:rsidP="003F04DE">
            <w:pPr>
              <w:autoSpaceDE w:val="0"/>
              <w:autoSpaceDN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:rsidR="00EA76DC" w:rsidRPr="00A06425" w:rsidRDefault="00EA76DC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</w:tbl>
    <w:p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140BE8"/>
    <w:rsid w:val="0019648E"/>
    <w:rsid w:val="002715B2"/>
    <w:rsid w:val="002E797B"/>
    <w:rsid w:val="003124D1"/>
    <w:rsid w:val="003B4105"/>
    <w:rsid w:val="003F04DE"/>
    <w:rsid w:val="004D086F"/>
    <w:rsid w:val="005F6527"/>
    <w:rsid w:val="00624EDD"/>
    <w:rsid w:val="006705EC"/>
    <w:rsid w:val="006D31E0"/>
    <w:rsid w:val="006E16E9"/>
    <w:rsid w:val="00807385"/>
    <w:rsid w:val="008F5DB4"/>
    <w:rsid w:val="00944932"/>
    <w:rsid w:val="009E5FDB"/>
    <w:rsid w:val="00A06425"/>
    <w:rsid w:val="00A07892"/>
    <w:rsid w:val="00AC7796"/>
    <w:rsid w:val="00B871B6"/>
    <w:rsid w:val="00BD0692"/>
    <w:rsid w:val="00C64B1B"/>
    <w:rsid w:val="00CD5EB0"/>
    <w:rsid w:val="00E14C33"/>
    <w:rsid w:val="00E236A3"/>
    <w:rsid w:val="00EA76DC"/>
    <w:rsid w:val="00F17703"/>
    <w:rsid w:val="00F90C6A"/>
    <w:rsid w:val="00FB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38B772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668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Więcek Joanna</cp:lastModifiedBy>
  <cp:revision>4</cp:revision>
  <dcterms:created xsi:type="dcterms:W3CDTF">2026-03-12T07:54:00Z</dcterms:created>
  <dcterms:modified xsi:type="dcterms:W3CDTF">2026-03-12T10:29:00Z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GUS-MJ-06.0870.1.2026.38</vt:lpwstr>
  </property>
  <property fmtid="{D5CDD505-2E9C-101B-9397-08002B2CF9AE}" pid="3" name="UNPPisma">
    <vt:lpwstr>2026-50219</vt:lpwstr>
  </property>
  <property fmtid="{D5CDD505-2E9C-101B-9397-08002B2CF9AE}" pid="4" name="ZnakSprawy">
    <vt:lpwstr>GUS-MJ-06.0870.1.2026</vt:lpwstr>
  </property>
  <property fmtid="{D5CDD505-2E9C-101B-9397-08002B2CF9AE}" pid="5" name="ZnakSprawy2">
    <vt:lpwstr>Znak sprawy: GUS-MJ-06.0870.1.2026</vt:lpwstr>
  </property>
  <property fmtid="{D5CDD505-2E9C-101B-9397-08002B2CF9AE}" pid="6" name="AktualnaDataSlownie">
    <vt:lpwstr>12 marca 2026</vt:lpwstr>
  </property>
  <property fmtid="{D5CDD505-2E9C-101B-9397-08002B2CF9AE}" pid="7" name="ZnakSprawyPrzedPrzeniesieniem">
    <vt:lpwstr/>
  </property>
  <property fmtid="{D5CDD505-2E9C-101B-9397-08002B2CF9AE}" pid="8" name="Autor">
    <vt:lpwstr>Wyrzykowska Aneta</vt:lpwstr>
  </property>
  <property fmtid="{D5CDD505-2E9C-101B-9397-08002B2CF9AE}" pid="9" name="AutorNumer">
    <vt:lpwstr/>
  </property>
  <property fmtid="{D5CDD505-2E9C-101B-9397-08002B2CF9AE}" pid="10" name="AutorKomorkaNadrzedna">
    <vt:lpwstr>Dyrektor Biura Zarządzania Bezpieczeństwem Informacji(BI)</vt:lpwstr>
  </property>
  <property fmtid="{D5CDD505-2E9C-101B-9397-08002B2CF9AE}" pid="11" name="AutorInicjaly">
    <vt:lpwstr>AW</vt:lpwstr>
  </property>
  <property fmtid="{D5CDD505-2E9C-101B-9397-08002B2CF9AE}" pid="12" name="AutorNrTelefonu">
    <vt:lpwstr>(022) 608-3114</vt:lpwstr>
  </property>
  <property fmtid="{D5CDD505-2E9C-101B-9397-08002B2CF9AE}" pid="13" name="Stanowisko">
    <vt:lpwstr>starszy specjalista</vt:lpwstr>
  </property>
  <property fmtid="{D5CDD505-2E9C-101B-9397-08002B2CF9AE}" pid="14" name="OpisPisma">
    <vt:lpwstr>Opis założeń projektu informatycznego: „System Satelitarnego Monitorowania Upraw Rolnych (S2MUR) – Etap 1”</vt:lpwstr>
  </property>
  <property fmtid="{D5CDD505-2E9C-101B-9397-08002B2CF9AE}" pid="15" name="Komorka">
    <vt:lpwstr>Prezes GUS</vt:lpwstr>
  </property>
  <property fmtid="{D5CDD505-2E9C-101B-9397-08002B2CF9AE}" pid="16" name="KodKomorki">
    <vt:lpwstr>Prezes GUS</vt:lpwstr>
  </property>
  <property fmtid="{D5CDD505-2E9C-101B-9397-08002B2CF9AE}" pid="17" name="AktualnaData">
    <vt:lpwstr>2026-03-12</vt:lpwstr>
  </property>
  <property fmtid="{D5CDD505-2E9C-101B-9397-08002B2CF9AE}" pid="18" name="Wydzial">
    <vt:lpwstr>Wydział Zarządzania Kryzysowego i Spraw Obronnych</vt:lpwstr>
  </property>
  <property fmtid="{D5CDD505-2E9C-101B-9397-08002B2CF9AE}" pid="19" name="KodWydzialu">
    <vt:lpwstr>BI-03</vt:lpwstr>
  </property>
  <property fmtid="{D5CDD505-2E9C-101B-9397-08002B2CF9AE}" pid="20" name="ZaakceptowanePrzez">
    <vt:lpwstr>n/d</vt:lpwstr>
  </property>
  <property fmtid="{D5CDD505-2E9C-101B-9397-08002B2CF9AE}" pid="21" name="PrzekazanieDo">
    <vt:lpwstr>Dyrektor Departamentu Metodologii i Jakości Badań(MJ)</vt:lpwstr>
  </property>
  <property fmtid="{D5CDD505-2E9C-101B-9397-08002B2CF9AE}" pid="22" name="PrzekazanieDoStanowisko">
    <vt:lpwstr/>
  </property>
  <property fmtid="{D5CDD505-2E9C-101B-9397-08002B2CF9AE}" pid="23" name="PrzekazanieDoKomorkaPracownika">
    <vt:lpwstr/>
  </property>
  <property fmtid="{D5CDD505-2E9C-101B-9397-08002B2CF9AE}" pid="24" name="PrzekazanieWgRozdzielnika">
    <vt:lpwstr/>
  </property>
  <property fmtid="{D5CDD505-2E9C-101B-9397-08002B2CF9AE}" pid="25" name="adresImie">
    <vt:lpwstr/>
  </property>
  <property fmtid="{D5CDD505-2E9C-101B-9397-08002B2CF9AE}" pid="26" name="adresNazwisko">
    <vt:lpwstr/>
  </property>
  <property fmtid="{D5CDD505-2E9C-101B-9397-08002B2CF9AE}" pid="27" name="adresNazwa">
    <vt:lpwstr>MINISTERSTWO CYFRYZACJI</vt:lpwstr>
  </property>
  <property fmtid="{D5CDD505-2E9C-101B-9397-08002B2CF9AE}" pid="28" name="adresOddzial">
    <vt:lpwstr/>
  </property>
  <property fmtid="{D5CDD505-2E9C-101B-9397-08002B2CF9AE}" pid="29" name="adresTypUlicy">
    <vt:lpwstr/>
  </property>
  <property fmtid="{D5CDD505-2E9C-101B-9397-08002B2CF9AE}" pid="30" name="adresUlica">
    <vt:lpwstr>KRÓLEWSKA</vt:lpwstr>
  </property>
  <property fmtid="{D5CDD505-2E9C-101B-9397-08002B2CF9AE}" pid="31" name="adresNrDomu">
    <vt:lpwstr>27</vt:lpwstr>
  </property>
  <property fmtid="{D5CDD505-2E9C-101B-9397-08002B2CF9AE}" pid="32" name="adresNrLokalu">
    <vt:lpwstr/>
  </property>
  <property fmtid="{D5CDD505-2E9C-101B-9397-08002B2CF9AE}" pid="33" name="adresKodPocztowy">
    <vt:lpwstr>00-060</vt:lpwstr>
  </property>
  <property fmtid="{D5CDD505-2E9C-101B-9397-08002B2CF9AE}" pid="34" name="adresMiejscowosc">
    <vt:lpwstr>WARSZAWA (ŚRÓDMIEŚCIE)</vt:lpwstr>
  </property>
  <property fmtid="{D5CDD505-2E9C-101B-9397-08002B2CF9AE}" pid="35" name="adresPoczta">
    <vt:lpwstr/>
  </property>
  <property fmtid="{D5CDD505-2E9C-101B-9397-08002B2CF9AE}" pid="36" name="adresEMail">
    <vt:lpwstr/>
  </property>
  <property fmtid="{D5CDD505-2E9C-101B-9397-08002B2CF9AE}" pid="37" name="DataNaPismie">
    <vt:lpwstr>brak</vt:lpwstr>
  </property>
  <property fmtid="{D5CDD505-2E9C-101B-9397-08002B2CF9AE}" pid="38" name="adresaciDW">
    <vt:lpwstr/>
  </property>
  <property fmtid="{D5CDD505-2E9C-101B-9397-08002B2CF9AE}" pid="39" name="adresaciDW2">
    <vt:lpwstr/>
  </property>
  <property fmtid="{D5CDD505-2E9C-101B-9397-08002B2CF9AE}" pid="40" name="DataCzasWprowadzenia">
    <vt:lpwstr>2026-03-11 13:05:33</vt:lpwstr>
  </property>
  <property fmtid="{D5CDD505-2E9C-101B-9397-08002B2CF9AE}" pid="41" name="TematSprawy">
    <vt:lpwstr>Opisy założeń projektów informatycznych 2026</vt:lpwstr>
  </property>
  <property fmtid="{D5CDD505-2E9C-101B-9397-08002B2CF9AE}" pid="42" name="ProwadzacySprawe">
    <vt:lpwstr>Więcek Joanna</vt:lpwstr>
  </property>
  <property fmtid="{D5CDD505-2E9C-101B-9397-08002B2CF9AE}" pid="43" name="StopienSluzbowy">
    <vt:lpwstr/>
  </property>
  <property fmtid="{D5CDD505-2E9C-101B-9397-08002B2CF9AE}" pid="44" name="KodKreskowy">
    <vt:lpwstr> </vt:lpwstr>
  </property>
  <property fmtid="{D5CDD505-2E9C-101B-9397-08002B2CF9AE}" pid="45" name="TrescPisma">
    <vt:lpwstr/>
  </property>
</Properties>
</file>